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cs="Times New Roman"/>
          <w:sz w:val="28"/>
          <w:szCs w:val="28"/>
        </w:rPr>
      </w:pPr>
      <w:r>
        <w:rPr>
          <w:rFonts w:cs="Times New Roman" w:ascii="Times New Roman" w:hAnsi="Times New Roman"/>
          <w:sz w:val="28"/>
          <w:szCs w:val="28"/>
        </w:rPr>
        <w:t>«УТВЕРЖДЕНО»</w:t>
      </w:r>
    </w:p>
    <w:p>
      <w:pPr>
        <w:pStyle w:val="NoSpacing"/>
        <w:jc w:val="right"/>
        <w:rPr>
          <w:rFonts w:ascii="Times New Roman" w:hAnsi="Times New Roman" w:cs="Times New Roman"/>
          <w:sz w:val="28"/>
          <w:szCs w:val="28"/>
        </w:rPr>
      </w:pPr>
      <w:r>
        <w:rPr>
          <w:rFonts w:cs="Times New Roman" w:ascii="Times New Roman" w:hAnsi="Times New Roman"/>
          <w:sz w:val="28"/>
          <w:szCs w:val="28"/>
        </w:rPr>
        <w:t>Решением Наблюдательного совета</w:t>
      </w:r>
    </w:p>
    <w:p>
      <w:pPr>
        <w:pStyle w:val="NoSpacing"/>
        <w:jc w:val="right"/>
        <w:rPr>
          <w:rFonts w:ascii="Times New Roman" w:hAnsi="Times New Roman" w:cs="Times New Roman"/>
          <w:sz w:val="28"/>
          <w:szCs w:val="28"/>
        </w:rPr>
      </w:pPr>
      <w:r>
        <w:rPr>
          <w:rFonts w:cs="Times New Roman" w:ascii="Times New Roman" w:hAnsi="Times New Roman"/>
          <w:sz w:val="28"/>
          <w:szCs w:val="28"/>
        </w:rPr>
        <w:t>ГКП на ПХВ «Аршалынская  РБ»</w:t>
      </w:r>
    </w:p>
    <w:p>
      <w:pPr>
        <w:pStyle w:val="NoSpacing"/>
        <w:jc w:val="right"/>
        <w:rPr/>
      </w:pPr>
      <w:r>
        <w:rPr>
          <w:rFonts w:cs="Times New Roman" w:ascii="Times New Roman" w:hAnsi="Times New Roman"/>
          <w:sz w:val="28"/>
          <w:szCs w:val="28"/>
        </w:rPr>
        <w:t xml:space="preserve">от «24» июня 2019 года </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Типовой Кодекс корпоративного управления ГКП на ПХВ</w:t>
      </w:r>
      <w:r>
        <w:rPr>
          <w:rFonts w:cs="Times New Roman" w:ascii="Times New Roman" w:hAnsi="Times New Roman"/>
          <w:sz w:val="28"/>
          <w:szCs w:val="28"/>
        </w:rPr>
        <w:t xml:space="preserve"> </w:t>
      </w:r>
      <w:r>
        <w:rPr>
          <w:rFonts w:cs="Times New Roman" w:ascii="Times New Roman" w:hAnsi="Times New Roman"/>
          <w:b/>
          <w:sz w:val="28"/>
          <w:szCs w:val="28"/>
        </w:rPr>
        <w:t>«Аршалынская  районная больница»</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
          <w:sz w:val="28"/>
          <w:szCs w:val="28"/>
        </w:rPr>
        <w:t>п.Аршалы  2019 год</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pPr>
      <w:r>
        <w:rPr>
          <w:rFonts w:cs="Times New Roman" w:ascii="Times New Roman" w:hAnsi="Times New Roman"/>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sz w:val="28"/>
          <w:szCs w:val="28"/>
        </w:rPr>
      </w:pPr>
      <w:r>
        <w:rPr>
          <w:rFonts w:cs="Times New Roman" w:ascii="Times New Roman" w:hAnsi="Times New Roman"/>
          <w:b/>
          <w:sz w:val="28"/>
          <w:szCs w:val="28"/>
        </w:rPr>
        <w:t>Глава 1. Общее положение</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В настоящем документе изложен Кодекс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государственного предприятия на праве хозяйственного ведения «Аршалынская  районная больница» (далее - Кодекс).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Кодекс государственного предприятия на праве хозяйственного введения «Аршалынская  районная больница» (далее - Предприятие) разработан в соответствии с корпоративными и этическими нормами, а также с </w:t>
      </w:r>
    </w:p>
    <w:p>
      <w:pPr>
        <w:pStyle w:val="NoSpacing"/>
        <w:jc w:val="both"/>
        <w:rPr>
          <w:rFonts w:ascii="Times New Roman" w:hAnsi="Times New Roman" w:cs="Times New Roman"/>
          <w:sz w:val="28"/>
          <w:szCs w:val="28"/>
        </w:rPr>
      </w:pPr>
      <w:r>
        <w:rPr>
          <w:rFonts w:cs="Times New Roman" w:ascii="Times New Roman" w:hAnsi="Times New Roman"/>
          <w:sz w:val="28"/>
          <w:szCs w:val="28"/>
        </w:rPr>
        <w:t>признанными в международной практике принципами корпоративного управления. Кодекс направлен на совершенствование корпоративного управления в Предприятии, обеспечение прозрачности и эффективности управления.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В настоящем Кодексе используются следующие основные понятия: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собственник – уполномоченный орган в области здравоохранения (местный исполнительный орган);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партнеры – поставщики и подрядчики, партнеры в совместных проектах;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исполнительный орган – единоличный (первый руководитель) или коллегиальный (правление) орган, руководящий текущей деятельностью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 период;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 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 периоды;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должностное лицо – член наблюдательного совета и/или исполнительного органа;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 омбудсмен – лицо, назначаемое наблюдательным советом Предприятия, роль которого заключается в консультировании обратившихся к нему работников Предприятия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 устойчивое развитие – это развитие, при котором Предприятие управляет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 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 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Имеются две основные фидуциарные обязанности: добросовестность и разумность.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 ситуации.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Иные термины, применяемые в настоящем Кодексе, соответствуют терминам и определениям, используемым в законодательстве Республики Казахстан.</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При осуществлении деятельности Предприятие обеспечивает: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управление Предприятием с соблюдением принципа законности и надлежащим уровнем ответственности, разграничением полномочий, подотчетности и эффективности;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систему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исключение конфликта интересов.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Контроль за исполнением Предприятием настоящего Кодекса осуществляется наблюдательным советом Предприятия. Секретарь наблюдательного совета ведет мониторинг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 положений.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последующем данный отчет выносится на рассмотрение Комитетов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(при их наличии), утверждается наблюдательным советом и включается в состав годового отчета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Случаи несоблюдения положений настоящего Кодекса рассматриваются 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заседаниях Комитетов (при их наличии) и наблюдательного совета с принятием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направленных на дальнейшее совершенствование корпоративного управления в Предприятии.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Глава 2. Принципы корпоративного управления Предприятия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Предприятие рассматривает корпоративное управление как средство повышения эффективности деятельности Предприятия, обеспечения транспарентности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  Предприятия, в том числе росту его ценности, поддержке финансовой стабильности и прибыльности.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Основополагающими принципами настоящего Кодекса являются: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принцип разграничения полномочий;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принцип защиты прав и интересов собственника;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принцип эффективного управления Предприятием наблюдательным советом и исполнительным органом;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принцип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принцип управления рисками, внутренний контроль и аудит;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принцип регулирования корпоративных конфликтов и конфликта интересов;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принцип прозрачности и объективности раскрытия информации о деятельности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 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 агентств.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1. Принцип разграничения полномочий</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 развития соответствующей отрасли и/или региона.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 Предприятие осуществляет свою деятельность в рамках своей основной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(профильной) деятельности. Осуществление новых видов деятельности регулируется Кодексом Республики Казахстан «О здоровье народа и системе здравоохранения».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 В Предприятии выстраивается оптимальная структура активов, упрощается их структура и организационно-правовая форма.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 Государственный орган (уполномоченный орган в области здравоохранения, местный исполнительный орган) как собственник 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Правительства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 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 Экономическая деятельность Предприятия отвечает условиям рынка относительно долговых и долевых финансов: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 содействие в реализации государственной политики по развитию отраслей Республики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 предприятиями.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 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 Взаимоотношения (взаимодействие) между государственными органом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Предприятием осуществляются через наблюдательный совет и/или исполнительный орган Предприятия в соответствии с принципами корпоративного управления. Роль и функции председателя наблюдательного совета и руководителя исполнительного органа Предприятия разграничивается и закрепляется в документах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 Предприятие раскрывает собственнику, наблюдательному совету Предприятия и иным заинтересованным сторанам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 лицами.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 Система корпоративного управления предусматривает взаимоотношения между: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собственником;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исполнительным органом;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иными органами, определяемыми в соответствии с Уставом.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 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 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 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 КПР.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целях достижения КПР, Предприятие разрабатывает план развития в соответствии с законодательством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2. Принцип защиты прав и интересов собственника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 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стоимости Предприятия, поддержанию их финансовой стабильности и прибыльности.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 При наличии в Предприятии нескольких Собственников, обеспечивается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справедливое отношение к каждому из них.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Собственник имеет права, предусмотренные Законодательством и Уставом.</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Корпоративное управление обеспечивает собственнику реализацию своих прав, 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Порядок обмена информацией между Предприятием и собственником регулируется Законодательством, Уставом и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3. Обеспечение прав Собственника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 Предприятие обеспечивает реализацию прав Собственника, в том числе: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право на получение информации о деятельности Предприятия, в том числе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знакомиться с финансовой отчетностью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право на оспаривание в судебном порядке принятые органами Предприятия решения.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27. Собственник может проводить заседания с наблюдательным советом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 компетенции.  </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4. Эффективный наблюдательный совет</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28. 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29. Наблюдательный совет обеспечивает полную прозрачность своей деятельности перед Собственником, а также внедрение всех положений настоящего Кодекса.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30. 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31. Наблюдательный совет уделяет особое внимание вопросам по: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постановке и мониторингу КПР, устанавливаемых в плане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организации и надзору за эффективным функционированием системы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избранию (переизбранию), вознаграждению, планированию преемственности и надзору за деятельностью исполнительного органа;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корпоративному управлению и этике;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соблюдению в Предприятии положений настоящего Кодекса и корпоративных стандартов Предприятия в области деловой этики (Кодекса деловой этики).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32. Члены наблюдательного совета добросовестно выполняют свои функциональные обязанности и в своей деятельности придерживаются следующих принципов: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способствовать росту долгосрочной стоимости и устойчивого развития Предприятия – 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влияние на репутацию Предприятия и высокие стандарты деловой этики; влияние на интересы заинтересованных сторон (перечень вопросов является не исчерпывающим);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этики и быть примером (образцом) для работников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заблаговременно уведомляют об этом председателя наблюдательного совета и не принимают участие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 работниками.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33. Ответственность между наблюдательным советом за обеспечение своей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деятельности, выполнению своих функций и обязанностей, в том числе (но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документах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34. Члены наблюдательного совета выполняют свои обязанности, включая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фидуциарные обязанности перед Собственником и отвечают за принимаемые решения, эффективность своей деятельности, действие и/или бездействие согласно подпункту 4) статьи 1 Закона Республики Казахстан «О противодействии коррупции». В случае возникновения разных мнений председатель наблюдательного совета обеспечивает рассмотрение всех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приемлемых вариантов и предложений, которые высказываются отдельными членами наблюдательного совета, чтобы принять решение, отвечающее интересам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35. На ежегодных заседаниях Собственника (заслушивании) председатель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предоставляет: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отчет наблюдательного совета, в котором отражаются итоги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 его комитетов (при их наличии) за отчетный период, меры, 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отчет о реализации ожиданий Собственника.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36. Наблюдательный совет ежегодно отчитывается о соблюдении норм настоящего Кодекса перед Собственником Предприятия. Наблюдательный совет обеспечивает внедрение механизмов, которые помогут избежать конфликт интересов, препятствующий объективному выполнению наблюдательным советом своих обязанностей, и ограничить политическое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вмешательство в процессы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37. 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38. 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 113.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39. Члены наблюдательного совета Предприятия избираются на срок не более трех лет.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40. При отборе кандидатов в состав наблюдательного совета во внимание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принимаются: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опыт работы на руководящих должностях;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опыт работы в качестве члена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стаж работы;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образование, специальность, включая наличие международных сертификатов;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наличие компетенций по направлениям и отраслям;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деловая репутация;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наличие прямого или потенциального конфликта интересов.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41. Не избирается на должность члена наблюдательнога совета Предприятия лицо: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имеющее непогашенную или не снятую в установленном законом порядке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судимость;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ранее являвшееся председателем наблюдательного совета, первым руководителем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нереабилитирующим основаниям за совершение указанных преступлений. Указанное требование применяется 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течение пяти лет с даты погашения либо снятия в порядке, установленном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Законодательством, судимости либо освобождения от уголовной ответственности;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обладающее иными качествами, препятствующими выполнению обязанностей члена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в соответствии с Законодательством.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42. Число членов наблюдательного совета должно быть нечетным и оставлять не менее пяти человек. В составе наблюдательного совета присутствуют и участвуют независимые члены. Количество независимых членов наблюдательного совета должно быть достаточным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Независимые члены наблюдательного совета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43. 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Предприятии после прекращения его деятельности на срок, установленный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наблюдательным советом и дополнительные обязательства, обусловленные требованиями к статусу и функциям независимых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договорах могут быть предусмотрены сроки выполнения членами наблюдательного совета отдельных обязанностей.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44. Предприятие обеспечивает наличие планов преемственности членов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для поддержания непрерывности деятельности и прогрессивного обновления состава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45. 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 программы.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46. 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ознакамливаются со своими правами и обязанностями, ключевыми аспектами деятельности и документами Предприятия, в том числе, связанными с наибольшими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47. Председатель наблюдательного совета отвечает за общее руководство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наблюдательным советом, обеспечивает полную и эффективную реализацию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 своевременно и на должном профессиональном уровне реагировать на внутренние и внешние  вызовы.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Функции председателя наблюдательного совета и исполнительного органа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Ключевые функции председателя наблюдательного совета включают:</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планирование заседаний наблюдательного совета и формирование повестки;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обеспечение своевременного получения членами наблюдательного совета полной и актуальной информации для принятия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построение надлежащей коммуникации и взаимодействия с собственником, при принятии ключевых стратегических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обеспечение мониторинга и надзора надлежащего исполнения принятых решений наблюдательного совета и собственника;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в случае возникновения корпоративных конфликтов принятие мер по 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 силами.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5. Вознаграждение членов наблюдательного совета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48. 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аудированной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 115.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49. Определение размера и условий выплаты вознаграждений членам наблюдательного совета относится к исключительной компетенции Собственника.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50. Размер вознаграждения должен быть достаточным для привлечения, эффективной деятельности, сохранения и мотивации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51. В Предприятии должна быть транспарентная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 наблюдательного совета своих обязанностей.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52. Условия вознаграждения членов наблюдательного совета отражаются в договорах, заключаемых с ними, и во внутренних документах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53. Выплата вознаграждения членам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 производится.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54. 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6. Комитеты наблюдательного совета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55. 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вопросам предусмотренным внутренними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 человек.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56. Наличие комитетов не освобождает членов наблюдательном совете от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ответственности за принятые решения в рамках компетенции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57. Комитеты создаются для проведения детального анализа и выработки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58. Деятельность всех комитетов регулируется внутренними документами,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 комитетах.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59. Для организации работы комитета, комитетом, назначается секретарь комитета из числа работников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Секретарь комитета обеспечивает подготовку заседаний комитета, сбор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60. Наблюдательный совет принимает решение о создании комитетов, определяет состав комитетов, сроки и полномочия.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Комитеты состоят из числа членов наблюдательного совета, обладающих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61. 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62. 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7. Комитет по стратегическому планированию</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63. 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64. Комитет по стратегическому планированию вправе привлекать экспертов,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 Комитета.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65. 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деятельности Предприятия, его долгосрочной стоимости и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8. Комитет по аудиту</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66. 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67. 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наблюдательному совету и собственнику.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68. 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 обоснований.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9. Комитет по кадрам и вознаграждениям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69. 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исполнительного органа, работников и иных лиц) на суждения членов комитета.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70. 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Председателем Комитета является независимый член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71. 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 топ-менеджеров.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72. 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вознаграждения.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10. Организация деятельности наблюдательного совета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73. Деятельность Наблюдательного совета основывается на принципах эффективности, активности, добросовестности, честности и ответственности.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74. 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75. Наблюдательный совет соблюдает установленные документами Предприятия процедуры по подготовке и проведению заседаний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76. 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 заседаний.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77. 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 голосования.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78. Рассмотрение и принятие решений по вопросам стратегического характера осуществляется только на заседаниях наблюдательного совета с очной формой голосования.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79. 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 комитетов.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80. 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81. Периодичность проведения заседаний наблюдательного совета составляет не менее четырех заседаний в год.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82. Для обеспечения тщательного и полноценного обсуждения и принятия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своевременных и качественных решений вопросы, планируемые к рассмотрению в течение года, равномерно распределяются.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83. Материалы к заседаниям наблюдательного совета направляются не менее чем за десять рабочих дней.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84. Перечень важных вопросов включает, в том числе план развития, КПР для исполнительного органа, годовым отчетом.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85. 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секретаря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86. 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высокое качество материалов, информации, документов, предоставляемых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наблюдательному совету (в том числе при необходимости перевод на другие языки в зависимости от владения языком членами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получение мнения экспертов (внутренних и внешних) при необходимости.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Привлечение экспертов не снимает с наблюдательного совета ответственности за принятое решение;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время, уделяемое обсуждениям на наблюдательном совете, особенно для важных и сложных вопросов;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своевременное рассмотрение вопросов;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в решениях предусматривается план дальнейших действий, сроки и ответственные лица.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87. Следующие факторы оказывают отрицательное влияние на качество решений наблюдательного совет: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доминирование одного или нескольких членов наблюдательного совета 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заседании, что может ограничить полноценное участие в обсуждениях других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формальное отношение к рискам;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преследование личных интересов и низкие этические стандарты;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формальное принятие решений на заседании наблюдательного совета, без реальных и активных обсуждений;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позиция бескомпромиссности (отсутствие гибкости) или отсутствие стремления к развитию (довольствование текущим положением);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слабая организационная культура;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недостаток информации и/или анализа.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88. Члены наблюдательного совета могут запросить дополнительную информацию по вопросам повестки дня, необходимую для принятия решения.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89. 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 совете.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90. 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91. 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92. 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 иное.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93. 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предусмотренных законодательством Республики Казахстан или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94. 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95. Член наблюдательного совета, имеющий заинтересованность по вопросу,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96. 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11. Оценка деятельности наблюдательного совета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97. Наблюдательный совет, комитеты и члены наблюдательного совета оцениваются на ежегодной основе. При этом, не реже одного раза в три года оценка проводится с привлечением независимой профессиональной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98. 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99. 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100. Проведение оценки осуществляется по принципам, как регулярность,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комплексность, непрерывность, реалистичность, конфиденциальность.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101. 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102. Оценка включает, в том числе рассмотрение следующих вопросов: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оптимальность состава наблюдательного совета (баланс навыков, опыта,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разнообразие состава, объективность) в контексте стоящих задач перед Предприятием;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ясность видения, основных задач, проблем и ценностей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планы преемственности и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функционирование наблюдательного совета как единого органа, роли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 исполнительного органа в деятельности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эффективность взаимодействия наблюдательного совета с собственником,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исполнительным органом и должностными лицами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эффективность каждого из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эффективность деятельности комитетов наблюдательного совета и 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взаимодействие с наблюдательным советом, исполнительным органом;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качество информации и документов, предоставляемых наблюдательному совету;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качество обсуждений на наблюдательном совете, в комитетах;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 эффективность деятельности секретаря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ясность процессов и компетенций;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 процесс выявления и оценки рисков;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 взаимодействие с собственником и иными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103. Оценка проводится наблюдательным советом на ежегодной основе с учетом соответствующей оценки комитета по кадрам и вознаграждениям вознаграждениям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104. 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председатель наблюдательного совета проводит консультации с Собственником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105. Наблюдательный совет в ежегодном годовом отчете отражает, способ проведения оценки наблюдательного совета и принятые меры по ее результатам.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106. 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 КПР.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Параграф 12. Секретарь наблюдательного совета Предприятия</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107. 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108. Назначение, определение срока полномочий, досрочное прекращение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109. 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110. 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111. 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Контроль за своевременным рассмотрением органами Предприятия таких обращений возлагается на Секретаря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112. 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 объяснений.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113. 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Предприятии.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114. 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115. 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116. 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117. В случае возникновения ситуаций с конфликтом интересов, секретарь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доводит данную информацию до сведения председателя наблюдательного совета. </w:t>
      </w:r>
    </w:p>
    <w:p>
      <w:pPr>
        <w:pStyle w:val="NoSpacing"/>
        <w:jc w:val="both"/>
        <w:rPr/>
      </w:pPr>
      <w:r>
        <w:rPr>
          <w:rFonts w:cs="Times New Roman" w:ascii="Times New Roman" w:hAnsi="Times New Roman"/>
          <w:sz w:val="28"/>
          <w:szCs w:val="28"/>
        </w:rPr>
        <w:t xml:space="preserve">118. 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119. В целях повышения эффективности подготовки и проведения заседаний </w:t>
      </w:r>
    </w:p>
    <w:p>
      <w:pPr>
        <w:pStyle w:val="NoSpacing"/>
        <w:jc w:val="both"/>
        <w:rPr/>
      </w:pPr>
      <w:r>
        <w:rPr>
          <w:rFonts w:cs="Times New Roman" w:ascii="Times New Roman" w:hAnsi="Times New Roman"/>
          <w:sz w:val="28"/>
          <w:szCs w:val="28"/>
        </w:rPr>
        <w:t xml:space="preserve">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
          <w:sz w:val="28"/>
          <w:szCs w:val="28"/>
        </w:rPr>
        <w:t>Параграф 13. Служба внутреннего аудита при наблюдательном совете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Предприятия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126. 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127. 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128. Работники службы внутреннего аудита не могут быть избраны в состав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 исполнительного органа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129. 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130. 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Основная задача службы внутреннего аудита заключается в содействии улучшению результатов деятельности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131. В положении о службе внутреннего аудита определяются и закрепляются: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1) приверженность принципам и положениям, принятым международным Институтом внутренних аудиторов (</w:t>
      </w:r>
      <w:r>
        <w:rPr>
          <w:rFonts w:cs="Times New Roman" w:ascii="Times New Roman" w:hAnsi="Times New Roman"/>
          <w:sz w:val="28"/>
          <w:szCs w:val="28"/>
          <w:lang w:val="en-US"/>
        </w:rPr>
        <w:t>The</w:t>
      </w:r>
      <w:r>
        <w:rPr>
          <w:rFonts w:cs="Times New Roman" w:ascii="Times New Roman" w:hAnsi="Times New Roman"/>
          <w:sz w:val="28"/>
          <w:szCs w:val="28"/>
        </w:rPr>
        <w:t xml:space="preserve"> </w:t>
      </w:r>
      <w:r>
        <w:rPr>
          <w:rFonts w:cs="Times New Roman" w:ascii="Times New Roman" w:hAnsi="Times New Roman"/>
          <w:sz w:val="28"/>
          <w:szCs w:val="28"/>
          <w:lang w:val="en-US"/>
        </w:rPr>
        <w:t>Institute</w:t>
      </w:r>
      <w:r>
        <w:rPr>
          <w:rFonts w:cs="Times New Roman" w:ascii="Times New Roman" w:hAnsi="Times New Roman"/>
          <w:sz w:val="28"/>
          <w:szCs w:val="28"/>
        </w:rPr>
        <w:t xml:space="preserve"> </w:t>
      </w:r>
      <w:r>
        <w:rPr>
          <w:rFonts w:cs="Times New Roman" w:ascii="Times New Roman" w:hAnsi="Times New Roman"/>
          <w:sz w:val="28"/>
          <w:szCs w:val="28"/>
          <w:lang w:val="en-US"/>
        </w:rPr>
        <w:t>of</w:t>
      </w:r>
      <w:r>
        <w:rPr>
          <w:rFonts w:cs="Times New Roman" w:ascii="Times New Roman" w:hAnsi="Times New Roman"/>
          <w:sz w:val="28"/>
          <w:szCs w:val="28"/>
        </w:rPr>
        <w:t xml:space="preserve"> </w:t>
      </w:r>
      <w:r>
        <w:rPr>
          <w:rFonts w:cs="Times New Roman" w:ascii="Times New Roman" w:hAnsi="Times New Roman"/>
          <w:sz w:val="28"/>
          <w:szCs w:val="28"/>
          <w:lang w:val="en-US"/>
        </w:rPr>
        <w:t>Internal</w:t>
      </w:r>
      <w:r>
        <w:rPr>
          <w:rFonts w:cs="Times New Roman" w:ascii="Times New Roman" w:hAnsi="Times New Roman"/>
          <w:sz w:val="28"/>
          <w:szCs w:val="28"/>
        </w:rPr>
        <w:t xml:space="preserve"> </w:t>
      </w:r>
      <w:r>
        <w:rPr>
          <w:rFonts w:cs="Times New Roman" w:ascii="Times New Roman" w:hAnsi="Times New Roman"/>
          <w:sz w:val="28"/>
          <w:szCs w:val="28"/>
          <w:lang w:val="en-US"/>
        </w:rPr>
        <w:t>Auditors</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статус, цели и задачи внутреннего аудита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квалификационные требования к руководителю и работникам службы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объем и содержание деятельности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право доступа к документации, сотрудникам и материальным активам при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выполнении соответствующих заданий;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 Предприятия. 132. В положении о службе внутреннего аудита предусматриваются также следующие задачи и функции: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осуществление мониторинга за исполнением рекомендаций внешнего аудитора;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областях), а также по иным вопросам, входящим в компетенцию службы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133. Оценка эффективности деятельности службы внутреннего аудита, ее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внутренних нормативных документов службы внутреннего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14. Коллегиальный исполнительный орган. Правление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134. Руководство текущей деятельностью Предприятия осуществляется правлением. </w:t>
      </w:r>
    </w:p>
    <w:p>
      <w:pPr>
        <w:pStyle w:val="NoSpacing"/>
        <w:jc w:val="both"/>
        <w:rPr>
          <w:rFonts w:ascii="Times New Roman" w:hAnsi="Times New Roman" w:cs="Times New Roman"/>
          <w:sz w:val="28"/>
          <w:szCs w:val="28"/>
        </w:rPr>
      </w:pPr>
      <w:r>
        <w:rPr>
          <w:rFonts w:cs="Times New Roman" w:ascii="Times New Roman" w:hAnsi="Times New Roman"/>
          <w:sz w:val="28"/>
          <w:szCs w:val="28"/>
        </w:rPr>
        <w:t>135. 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136. 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137. 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138. 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139. Собственник Предприятия может в установленном порядке прекратить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полномочия председателя правления на основании представления, согласованного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140. 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 Собственником.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141. 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 наличии).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142. 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правления во второй раз, право на внесение предложения по кандидату на данную вакантную должность переходит к наблюдательному совету.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143. 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144. Для повышения прозрачности процессов назначения и вознаграждения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председателя и членов правления Предприятия, наблюдательным советом утверждается и строго соблюдаются правила по назначениям, вознаграждениям, оценке и преемственности председателя и членов правления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145. Правление под руководством наблюдательного совета разрабатывает план развития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Правление обеспечивает: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осуществление деятельности в соответствии с нормами законодательства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Республики Казахстан, Устава и внутренних документов Предприятия, решениям собственника,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надлежащее управление рисками и внутренний контроль;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выделение ресурсов для реализации решений Собственника,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безопасность труда работников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создание атмосферы заинтересованности и лояльности работников Предприятия, развитие корпоративной культуры.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146. 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147. 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148. 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149. 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 вопросу.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150. Председатель и члены правления могут занимать должности в других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организациях только с одобрения наблюдательного совета. Председатель правления не анимает должность руководителя исполнительного органа другого юридического лица.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151. Правление обеспечивает создание оптимальной организационной структуры Предприятия, которое утверждается наблюдательным советом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152. Организационная структура направлена 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эффективность принятия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увеличение продуктивности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оперативность принятия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организационную гибкость.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153. 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среднего и высшего менеджмента. Работники проходят оценку на ежегодной основе.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154. Процедуры отбора кадров реализовываются по следующим требованиям: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155. 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управленческие функции в государственной организации или субъекте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квазигосударственного сектора приравниваются к лицам, уполномоченным на выполнение государственных функций.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15. Оценка и вознаграждение членов правления Предприятия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156. Председатель и члены правления оцениваются Собственником Предприятия. Основным критерием оценки является достижение поставленных КПР.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157. КПР председателя и членов правления утверждаются Собственником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158. Результаты оценки оказывают влияние на размер вознаграждения, поощрение, переизбрание (назначение) или досрочное прекращение полномочий.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159. 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160. В случае досрочного расторжения трудового договора, вознаграждение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выплачивается в соответствии с внутренними документами, утвержденными наблюдательным советом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16. Единоличный исполнительный орган. Руководитель Предприятия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161. 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162. 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163. Собственник предприятия может в установленном порядке прекратить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полномочия руководителя Предприятия на основании представления, согласованного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164. 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165. Руководитель Предприятия обязан исполнять решения Собственника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166. 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167. 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168. 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 задач.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169. 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170. Руководитель Предприятия и его заместители в порядке, установленном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171. Работа руководителя Предприятия оценивается Собственником Предприятия. Основным критерием оценки является достижение поставленных КПР.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172. КПР утверждаются Собственником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173. Результаты оценки оказывают влияние на размер вознаграждения, поощрение, переизбрание (назначение) или досрочное прекращение полномочий.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17. Принцип устойчивого развития</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174. 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175. Предприятие стремится к росту долгосрочной стоимости, обеспечивают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176. Предприятие в ходе осуществления своей деятельности оказывает влияние или испытывают на себе влияние заинтересованных сторон.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177. 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важное значение надлежащему взаимодействию с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178. Предприятие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 сторонами (Стандарт АА 1000, стандарт принципов подотчетности (Аccountability Principles Standard 2008 "Стандарт взаимодействия с заинтересованными сторонами" 2011 (АА 2011 </w:t>
      </w:r>
    </w:p>
    <w:p>
      <w:pPr>
        <w:pStyle w:val="NoSpacing"/>
        <w:jc w:val="both"/>
        <w:rPr>
          <w:rFonts w:ascii="Times New Roman" w:hAnsi="Times New Roman" w:cs="Times New Roman"/>
          <w:sz w:val="28"/>
          <w:szCs w:val="28"/>
        </w:rPr>
      </w:pPr>
      <w:r>
        <w:rPr>
          <w:rFonts w:cs="Times New Roman" w:ascii="Times New Roman" w:hAnsi="Times New Roman"/>
          <w:sz w:val="28"/>
          <w:szCs w:val="28"/>
          <w:lang w:val="en-US"/>
        </w:rPr>
        <w:t xml:space="preserve">Stakeholder Engagement Standard 2011), ISO 26000 </w:t>
      </w:r>
      <w:r>
        <w:rPr>
          <w:rFonts w:cs="Times New Roman" w:ascii="Times New Roman" w:hAnsi="Times New Roman"/>
          <w:sz w:val="28"/>
          <w:szCs w:val="28"/>
        </w:rPr>
        <w:t>Руководство</w:t>
      </w:r>
      <w:r>
        <w:rPr>
          <w:rFonts w:cs="Times New Roman" w:ascii="Times New Roman" w:hAnsi="Times New Roman"/>
          <w:sz w:val="28"/>
          <w:szCs w:val="28"/>
          <w:lang w:val="en-US"/>
        </w:rPr>
        <w:t xml:space="preserve"> </w:t>
      </w:r>
      <w:r>
        <w:rPr>
          <w:rFonts w:cs="Times New Roman" w:ascii="Times New Roman" w:hAnsi="Times New Roman"/>
          <w:sz w:val="28"/>
          <w:szCs w:val="28"/>
        </w:rPr>
        <w:t>по</w:t>
      </w:r>
      <w:r>
        <w:rPr>
          <w:rFonts w:cs="Times New Roman" w:ascii="Times New Roman" w:hAnsi="Times New Roman"/>
          <w:sz w:val="28"/>
          <w:szCs w:val="28"/>
          <w:lang w:val="en-US"/>
        </w:rPr>
        <w:t xml:space="preserve"> </w:t>
      </w:r>
      <w:r>
        <w:rPr>
          <w:rFonts w:cs="Times New Roman" w:ascii="Times New Roman" w:hAnsi="Times New Roman"/>
          <w:sz w:val="28"/>
          <w:szCs w:val="28"/>
        </w:rPr>
        <w:t>социальной</w:t>
      </w:r>
      <w:r>
        <w:rPr>
          <w:rFonts w:cs="Times New Roman" w:ascii="Times New Roman" w:hAnsi="Times New Roman"/>
          <w:sz w:val="28"/>
          <w:szCs w:val="28"/>
          <w:lang w:val="en-US"/>
        </w:rPr>
        <w:t xml:space="preserve"> </w:t>
      </w:r>
      <w:r>
        <w:rPr>
          <w:rFonts w:cs="Times New Roman" w:ascii="Times New Roman" w:hAnsi="Times New Roman"/>
          <w:sz w:val="28"/>
          <w:szCs w:val="28"/>
        </w:rPr>
        <w:t>ответственности</w:t>
      </w:r>
      <w:r>
        <w:rPr>
          <w:rFonts w:cs="Times New Roman" w:ascii="Times New Roman" w:hAnsi="Times New Roman"/>
          <w:sz w:val="28"/>
          <w:szCs w:val="28"/>
          <w:lang w:val="en-US"/>
        </w:rPr>
        <w:t xml:space="preserve"> (Guidance on Social Responsibility), GRI (Global Reporting Initiative), </w:t>
      </w:r>
      <w:r>
        <w:rPr>
          <w:rFonts w:cs="Times New Roman" w:ascii="Times New Roman" w:hAnsi="Times New Roman"/>
          <w:sz w:val="28"/>
          <w:szCs w:val="28"/>
        </w:rPr>
        <w:t>приведенные</w:t>
      </w:r>
      <w:r>
        <w:rPr>
          <w:rFonts w:cs="Times New Roman" w:ascii="Times New Roman" w:hAnsi="Times New Roman"/>
          <w:sz w:val="28"/>
          <w:szCs w:val="28"/>
          <w:lang w:val="en-US"/>
        </w:rPr>
        <w:t xml:space="preserve"> </w:t>
      </w:r>
      <w:r>
        <w:rPr>
          <w:rFonts w:cs="Times New Roman" w:ascii="Times New Roman" w:hAnsi="Times New Roman"/>
          <w:sz w:val="28"/>
          <w:szCs w:val="28"/>
        </w:rPr>
        <w:t>согласно</w:t>
      </w:r>
      <w:r>
        <w:rPr>
          <w:rFonts w:cs="Times New Roman" w:ascii="Times New Roman" w:hAnsi="Times New Roman"/>
          <w:sz w:val="28"/>
          <w:szCs w:val="28"/>
          <w:lang w:val="en-US"/>
        </w:rPr>
        <w:t xml:space="preserve"> </w:t>
      </w:r>
      <w:r>
        <w:rPr>
          <w:rFonts w:cs="Times New Roman" w:ascii="Times New Roman" w:hAnsi="Times New Roman"/>
          <w:sz w:val="28"/>
          <w:szCs w:val="28"/>
        </w:rPr>
        <w:t>приложению</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1 к настоящему Кодексу.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179. Предприятие принимает меры по налаживанию диалога и долгосрочного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сотрудничества с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180. 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181. Методы взаимодействия с заинтересованными сторонами включают следующие формы (АА 1000 "Стандарт взаимодействия с заинтересованными сторонами" 2011 (АА 2011 Stakeholder Engagement Standard 12011) приведенные согласно приложению 2 к настоящему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Кодексу.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182. 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183. 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184. 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185. Социальная составляющая ориентирована на принципы социальной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186. 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187. Международные стандарты GRI 4 приводят классификацию категорий и аспектов устойчивого развития Предприятие, согласно приложению 3 к настоящему Кодексу.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188. В Предприятие выстраивается система управления в области устойчивого развития, которая включает, в том числе, следующие элементы: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приверженность принципам устойчивого развития на уровне наблюдательного совета, исполнительного органа и работников;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анализ внутренней и внешней ситуации по трем составляющим (экономика, экология, социальные вопросы);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определение рисков в области устойчивого развития в социальной, экономической и экологической сферах;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построение карты заинтересованных сторон;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определение целей и КПР в области устойчивого развития, разработка плана мероприятий и определение ответственных лиц;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повышение квалификации должностных лиц и работников в области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 улучшений.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189. Наблюдательный совет и исполнительный орган Предприятия обеспечивает формирование надлежащей системы в области устойчивого развития и ее внедрение.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190. Все работники и должностные лица на всех уровнях вносят вклад в устойчивое развитие.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191. Предприятием разрабатываются планы мероприятий в области устойчивого развития посредством: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анализа текущей ситуации по трем основным сферам: экономической,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экологической и социальной. При проведении данного анализа важным является достоверность, своевременность и качество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Предприятие;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определения заинтересованных сторон и их влияния на деятельность;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регулярного мониторинга и оценки реализации целей, мероприятий достижения целевых показателей;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систематизированного и конструктивного взаимодействия с заинтересованными сторонами, получения обратной связи;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реализации сформированного плана;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постоянного мониторинга и регулярной отчетности;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анализа и оценки результативности плана, подведения итогов и принятия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корректирующих и улучшающих мер.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192. Устойчивое развитие интегрируется 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систему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стратегический план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 исполнительного органа, и завершая рядовыми работниками.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193. В системе управления в области устойчивого развития определяется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194. Наблюдательный совет Предприятия осуществляет стратегическое руководство и контроль за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195.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196. 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197. Выгоды от внедрения принципов устойчивого развития включают: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 </w:t>
      </w:r>
    </w:p>
    <w:p>
      <w:pPr>
        <w:pStyle w:val="NoSpacing"/>
        <w:jc w:val="both"/>
        <w:rPr>
          <w:rFonts w:ascii="Times New Roman" w:hAnsi="Times New Roman" w:cs="Times New Roman"/>
          <w:sz w:val="28"/>
          <w:szCs w:val="28"/>
        </w:rPr>
      </w:pPr>
      <w:r>
        <w:rPr>
          <w:rFonts w:cs="Times New Roman" w:ascii="Times New Roman" w:hAnsi="Times New Roman"/>
          <w:sz w:val="28"/>
          <w:szCs w:val="28"/>
        </w:rPr>
        <w:t>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198. Допускается представление информации по устойчивому развитию в форме отдельного отчета или в составе годового отчета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199. 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w:t>
      </w:r>
      <w:r>
        <w:rPr>
          <w:rFonts w:cs="Times New Roman" w:ascii="Times New Roman" w:hAnsi="Times New Roman"/>
          <w:sz w:val="28"/>
          <w:szCs w:val="28"/>
          <w:lang w:val="en-US"/>
        </w:rPr>
        <w:t>Reporting</w:t>
      </w:r>
      <w:r>
        <w:rPr>
          <w:rFonts w:cs="Times New Roman" w:ascii="Times New Roman" w:hAnsi="Times New Roman"/>
          <w:sz w:val="28"/>
          <w:szCs w:val="28"/>
        </w:rPr>
        <w:t xml:space="preserve"> </w:t>
      </w:r>
      <w:r>
        <w:rPr>
          <w:rFonts w:cs="Times New Roman" w:ascii="Times New Roman" w:hAnsi="Times New Roman"/>
          <w:sz w:val="28"/>
          <w:szCs w:val="28"/>
          <w:lang w:val="en-US"/>
        </w:rPr>
        <w:t>Initiative</w:t>
      </w:r>
      <w:r>
        <w:rPr>
          <w:rFonts w:cs="Times New Roman" w:ascii="Times New Roman" w:hAnsi="Times New Roman"/>
          <w:sz w:val="28"/>
          <w:szCs w:val="28"/>
        </w:rPr>
        <w:t xml:space="preserve"> (</w:t>
      </w:r>
      <w:r>
        <w:rPr>
          <w:rFonts w:cs="Times New Roman" w:ascii="Times New Roman" w:hAnsi="Times New Roman"/>
          <w:sz w:val="28"/>
          <w:szCs w:val="28"/>
          <w:lang w:val="en-US"/>
        </w:rPr>
        <w:t>GRI</w:t>
      </w:r>
      <w:r>
        <w:rPr>
          <w:rFonts w:cs="Times New Roman" w:ascii="Times New Roman" w:hAnsi="Times New Roman"/>
          <w:sz w:val="28"/>
          <w:szCs w:val="28"/>
        </w:rPr>
        <w:t xml:space="preserve">), Стандарты серии АА1000 </w:t>
      </w:r>
      <w:r>
        <w:rPr>
          <w:rFonts w:cs="Times New Roman" w:ascii="Times New Roman" w:hAnsi="Times New Roman"/>
          <w:sz w:val="28"/>
          <w:szCs w:val="28"/>
          <w:lang w:val="en-US"/>
        </w:rPr>
        <w:t>Social</w:t>
      </w:r>
      <w:r>
        <w:rPr>
          <w:rFonts w:cs="Times New Roman" w:ascii="Times New Roman" w:hAnsi="Times New Roman"/>
          <w:sz w:val="28"/>
          <w:szCs w:val="28"/>
        </w:rPr>
        <w:t xml:space="preserve"> </w:t>
      </w:r>
      <w:r>
        <w:rPr>
          <w:rFonts w:cs="Times New Roman" w:ascii="Times New Roman" w:hAnsi="Times New Roman"/>
          <w:sz w:val="28"/>
          <w:szCs w:val="28"/>
          <w:lang w:val="en-US"/>
        </w:rPr>
        <w:t>and</w:t>
      </w:r>
      <w:r>
        <w:rPr>
          <w:rFonts w:cs="Times New Roman" w:ascii="Times New Roman" w:hAnsi="Times New Roman"/>
          <w:sz w:val="28"/>
          <w:szCs w:val="28"/>
        </w:rPr>
        <w:t xml:space="preserve"> </w:t>
      </w:r>
      <w:r>
        <w:rPr>
          <w:rFonts w:cs="Times New Roman" w:ascii="Times New Roman" w:hAnsi="Times New Roman"/>
          <w:sz w:val="28"/>
          <w:szCs w:val="28"/>
          <w:lang w:val="en-US"/>
        </w:rPr>
        <w:t>Ethical</w:t>
      </w:r>
      <w:r>
        <w:rPr>
          <w:rFonts w:cs="Times New Roman" w:ascii="Times New Roman" w:hAnsi="Times New Roman"/>
          <w:sz w:val="28"/>
          <w:szCs w:val="28"/>
        </w:rPr>
        <w:t xml:space="preserve"> </w:t>
      </w:r>
      <w:r>
        <w:rPr>
          <w:rFonts w:cs="Times New Roman" w:ascii="Times New Roman" w:hAnsi="Times New Roman"/>
          <w:sz w:val="28"/>
          <w:szCs w:val="28"/>
          <w:lang w:val="en-US"/>
        </w:rPr>
        <w:t>Accountability</w:t>
      </w:r>
      <w:r>
        <w:rPr>
          <w:rFonts w:cs="Times New Roman" w:ascii="Times New Roman" w:hAnsi="Times New Roman"/>
          <w:sz w:val="28"/>
          <w:szCs w:val="28"/>
        </w:rPr>
        <w:t xml:space="preserve">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200. 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интернет-ресурсе и/или предоставления на бумажном носителе.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201. В целях доведения политики устойчивого развития до сведения заинтересованных сторон, интернет-ресурс Предприятия содержит отдельный раздел, посвященный данной сфере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202. Предприятие обсуждает включение и соблюдение принципов и стандартов устойчивого развития в соответствующие контракты (соглашения, договоры) с партнерами.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203. 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204.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Предприятия и существуют ли меры воздействия на него и возможность его замены.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18. Управление рисками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205. 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наблюдательным советом и исполнительным органом Предприятия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для обеспечения: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оптимального баланса между ростом стоимости Предприятия, прибыльностью и сопровождаемыми их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эффективности финансово-хозяйственной деятельности и достижения финансовой устойчивости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сохранности активов и эффективного использования ресурсов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полноты, надежности и достоверности финансовой и управленческой отчетности;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соблюдения требований законодательства Республики Казахстан и внутренних документов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надлежащего внутреннего контроля для предотвращения мошенничества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обеспечения эффективной поддержки функционирования основных и вспомогательных бизнес-процессов и анализа результатов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206. 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207. 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руководства соответствующего уровня о любых существенных недостатках.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208. Принципы и подходы к организации эффективной системы управления рисками и внутреннего контроля предусматривают: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определение целей и задач системы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требования к организации системы внутреннего контроля и проведению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209. Во внутренних документах Предприятия закрепляется ответственность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 основе.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210. Каждое лицо Предприятия обеспечивает надлежащее рассмотрение рисков при принятии решений.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211. Исполнительный орган Предприятия обеспечивает внедрение процедур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управления рисками работниками, обладающими соответствующей квалификацией и опытом.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212. Исполнительный орган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обеспечивает разработку и внедрение утвержденных наблюдательным советом внутренних документов в области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осуществляет мониторинг системы управления рисками и внутреннего контроля в соответствии с требованиями внутренних документов;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213. В целях реализации принципов внутреннего контроля и обеспечения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и/или руководителями структурных подразделений.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214. Руководители структурных подразделений в соответствии со своими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215. 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аудита), к задачам которой относятся: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общая координация процессов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рисками и внутреннего контроля, отчетов по их исполнению;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организация обучения работников в области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формирование сводной отчетности по рискам;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осуществление оперативного контроля за процессом управления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структурными подразделениями;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подготовка и информирование наблюдательного совета и/или исполнительного органа Предприятия о статусе системы управления рисками, имеющихся угроз и предложении по их предупреждению/нивелированию.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216.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интересов.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217. 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218. 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 риск-аппетиту.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219. Наблюдательным советом утверждается общий уровень аппетита к риску и уровни толерантности в отношении ключевых рисков, которые закрепляются внутренними документами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220. Уровни толерантности по ключевым рискам пересматриваются в случае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возникновения существенных событий. Устанавливаются лимиты, которые ограничивают риски в повседневной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221. Для целостного и ясного понимания присущих рисков в Предприятии 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222. 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223. Отчеты по рискам выносятся на заседания наблюдательного совета не реже одного раза в квартал и обсуждаться надлежащим образом в полном объеме.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224. В Предприятии внедряются прозрачные принципы и подходы в области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225. Работники Предприятия, а также при приеме на работу проходят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обучение/вводный инструктаж для ознакомления с принятой системой управления рисками и внутреннего контроля.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226. По результатам такого обучения проводится тестирование знаний.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227. 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любым работником и должностным лицом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19. Внутренний контроль и аудит</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228. 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229. Служба внутреннего аудита осуществляет свою деятельность на основе риск-ориентированного годового аудиторского плана, утверждаемого наблюдательным советом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230. Результаты аудиторских отчетов, ключевые обнаружения и соответствующие рекомендации ежеквартально выносятся на рассмотрение наблюдательному совету.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231. 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232. Оценка эффективности системы внутреннего контроля включает: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проверку обеспечения достоверности бухгалтерской (финансовой), статистической,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управленческой и иной отчетности, выявление результатов деятельности бизнес-процессов и структурных подразделений на соответствие поставленным целям;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определение адекватности критериев, установленных исполнительным органом Предприятия для анализа степени исполнения (достижения) поставленных целей;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выявление недостатков системы внутреннего контроля, которые не позволили (не позволяют) достичь поставленных целей;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оценку результатов внедрения (реализации) мероприятий по устранению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нарушений, недостатков и совершенствованию системы внутреннего контроля, реализуемых на всех уровнях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проверку эффективности и целесообразности использования ресурсов;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проверку обеспечения сохранности активов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проверку соблюдения требований законодательства Республики Казахстан, Устава и внутренних документов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233. Оценка эффективности системы управления рисками включает: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проверку полноты выявления и корректности оценки рисков исполнительным органом на всех уровнях его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проверку эффективности контрольных процедур и иных мероприятий по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управлению рисками, включая эффективность использования выделенных на эти цели ресурсов;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234. Оценка корпоративного управления включает проверку: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соблюдения этических принципов и корпоративных ценностей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порядка постановки целей, мониторинга и контроля их достижения;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обеспечения прав собственника и эффективности взаимоотношений с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заинтересованными сторонами;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процедур раскрытия информации о деятельности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235. 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236. Выбор внешнего аудитора осуществляется на основе конкурса. При отборе учитывается мнение комитета по аудиту наблюдательного совета Предприятия члены которого включаются в состав конкурсной комиссии.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237. При определении независимости членов комиссии по выбору внешнего аудитора учитываются следующие основные параметры: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характер финансовых или деловых отношений каждого члена комиссии с внешним аудитором;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характер родственных связей каждого члена комиссии с представителями внешнего аудитора.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238. 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239. Предприятие обеспечивает раскрытие подробной информации о привлекаемом внешнем аудиторе.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240. В Предприятии регламентируются вопросы по выбору и взаимодействию с внешним аудитором.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241. 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 критериям: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высокий уровень квалификации специалистов аудиторской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значительный опыт работы и положительная репутация (на казахстанском и международном рынке (при необходимости);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наличие опыта в отрасли;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соблюдение аудиторской организацией международных стандартов аудита,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242. 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243. 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 подряд.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
          <w:sz w:val="28"/>
          <w:szCs w:val="28"/>
        </w:rPr>
        <w:t>Параграф 20. Регулирование корпоративных конфликтов</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244. Члены наблюдательного совета и исполнительного орагана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 сторон.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Должностными лицами Предприятия своевременно сообщается секретарю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наблюдательного совета и/или омбудсмену о наличии (возникновении) конфликта. </w:t>
      </w:r>
    </w:p>
    <w:p>
      <w:pPr>
        <w:pStyle w:val="NoSpacing"/>
        <w:jc w:val="both"/>
        <w:rPr>
          <w:rFonts w:ascii="Times New Roman" w:hAnsi="Times New Roman" w:cs="Times New Roman"/>
          <w:sz w:val="28"/>
          <w:szCs w:val="28"/>
        </w:rPr>
      </w:pPr>
      <w:r>
        <w:rPr>
          <w:rFonts w:cs="Times New Roman" w:ascii="Times New Roman" w:hAnsi="Times New Roman"/>
          <w:sz w:val="28"/>
          <w:szCs w:val="28"/>
        </w:rP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245. 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 вознаграждениям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246. 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 органов.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247.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248.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249. 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250. 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 конфликта.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251. 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 </w:t>
      </w:r>
    </w:p>
    <w:p>
      <w:pPr>
        <w:pStyle w:val="NoSpacing"/>
        <w:jc w:val="both"/>
        <w:rPr/>
      </w:pPr>
      <w:r>
        <w:rPr>
          <w:rFonts w:cs="Times New Roman" w:ascii="Times New Roman" w:hAnsi="Times New Roman"/>
          <w:sz w:val="28"/>
          <w:szCs w:val="28"/>
        </w:rPr>
        <w:t xml:space="preserve">252. Наблюдательный совет рассматривает отдельные корпоративные конфликты, относящиеся к компетенции исполнительного органа.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21. Регулирование конфликта интересов</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253. Конфликт интересов определяется как ситуация, в которой личная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заинтересованность работника Предприятия влияет или может повлиять на беспристрастное исполнение должностных обязанностей.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254. Работники Предприятия не допускают ситуации, в которой возможно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возникновение конфликта интересов, ни в отношения себя (или связанных с собой лиц), ни в отношении других.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255. Предприятием во избежание конфликта интересов, препятствующих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 регулированию.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256. Основные принципы предотвращения конфликта интересов, способы их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выявления, оценки и разрешения закрепляются в Кодексе деловой этики Предприятия, утверждаемом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Параграф 22. Принцип прозрачности и объективности раскрытия информации о</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деятельности Предприятия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257. В целях соблюдения интересов заинтересованных сторон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258. 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259. 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260. 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261. 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понимания деятельности Предприятия. Информация размещается в отдельных тематических разделах интернет-ресурса.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262. . Актуализация интернет-ресурса осуществляется не реже одного раза в неделю. В Предприятии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этих целях закрепляются ответственные лица (структурное подразделение), отвечающие за полноту и актуальность информации на интернет-ресурсе.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263. Интернет-ресурс Предприятия содержит следующую информацию: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 плане развития (стратегические цели); приоритетные направления деятельности;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раздел 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об этических принципах;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об управлении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 организациях;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 организациях;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план работы наблюдательного совета, отчет о деятельности и другая информация в разделе Корпоративное управление;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 о финансовой отчетности;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о годовых отчетах;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 о внешнем аудиторе;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13) о государственных услугах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14) о закупочной деятельности, включая правила, объявления и результаты закупок;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15) о структуре активов;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16) о годовом календаре корпоративных событий;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17)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18)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19) о деятельности в сфере устойчивого развития;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20) о новостях и пресс-релизах.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264. Предприятие готовит годовой отчет в соответствии с положениями настоящего Кодекса и практикой раскрытия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265. Годовой отчет утверждается наблюдательным советом.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266. Годовой отчет является структурированным документом и публикуется на казахском, русском и английском языках (при необходимости).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267. Годовой отчет подготавливается и размещается на интернет-ресурсе.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268. Требования к содержанию годового отчета предполагают наличие следующей информации: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 обращение председателя наблюдательного совета Предприятия;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2) обращение руководителя исполнительного органа;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3) о Предприятии: общие сведения; о структуре уставного капитала, включая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следующие сведения: миссия; план развития (кроме данных SWOT-анализа, анализа внутренней среды, бенчмаркинга), результаты его реализации; обзор рынка и положение на рынке;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5) структура активов;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6) цели и планы на будущие периоды;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7) основные факторы риска и система управления рисками;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8) 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Предприятия; отчет о деятельности исполнительного органа; политика вознаграждения должностных лиц;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9) устойчивое развитие (в случае подготовки отдельного отчета в области устойчивого развития, возможно предоставление ссылки на данный отчет);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10) заключение аудитора и финансовая отчетность с примечаниями;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позволят провести отраслевой бенчмаркинг-анализ.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Приложение 1 </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к Типовому кодексу корпоративного </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управления </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Международные стандарты определения и взаимодействия с заинтересованными сторонами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tbl>
      <w:tblPr>
        <w:tblStyle w:val="a4"/>
        <w:tblW w:w="9571" w:type="dxa"/>
        <w:jc w:val="left"/>
        <w:tblInd w:w="0" w:type="dxa"/>
        <w:tblCellMar>
          <w:top w:w="0" w:type="dxa"/>
          <w:left w:w="108" w:type="dxa"/>
          <w:bottom w:w="0" w:type="dxa"/>
          <w:right w:w="108" w:type="dxa"/>
        </w:tblCellMar>
        <w:tblLook w:noVBand="1" w:val="04a0" w:noHBand="0" w:lastColumn="0" w:firstColumn="1" w:lastRow="0" w:firstRow="1"/>
      </w:tblPr>
      <w:tblGrid>
        <w:gridCol w:w="2696"/>
        <w:gridCol w:w="4003"/>
        <w:gridCol w:w="2872"/>
      </w:tblGrid>
      <w:tr>
        <w:trPr/>
        <w:tc>
          <w:tcPr>
            <w:tcW w:w="2696" w:type="dxa"/>
            <w:tcBorders/>
            <w:shd w:fill="auto" w:val="clear"/>
          </w:tcPr>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Заинтересованные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стороны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Привносимый вклад, влияние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2872" w:type="dxa"/>
            <w:tcBorders/>
            <w:shd w:fill="auto" w:val="clear"/>
          </w:tcPr>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Ожидания, интерес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Инвесторы,банки второго уровня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Финансовые ресурсы (собственный капитал, заемные средства)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2872" w:type="dxa"/>
            <w:tcBorders/>
            <w:shd w:fill="auto" w:val="clear"/>
          </w:tcPr>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Рентабельность вложенных инвестиций, основного долга и вознаграждения </w:t>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Работники, должностные лица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Человеческие ресурсы, лояльность</w:t>
            </w:r>
          </w:p>
        </w:tc>
        <w:tc>
          <w:tcPr>
            <w:tcW w:w="2872" w:type="dxa"/>
            <w:tcBorders/>
            <w:shd w:fill="auto" w:val="clear"/>
          </w:tcPr>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Высокая заработная плата, хорошие условия труда, профессиональное развитие </w:t>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Профессиональные союзы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Содействие обеспечению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социальной стабильности,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регулированию трудовых отношению и разрешениюконфликтов</w:t>
            </w:r>
          </w:p>
        </w:tc>
        <w:tc>
          <w:tcPr>
            <w:tcW w:w="2872"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Соблюдение прав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работников, хорошие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условия труда</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Клиенты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Финансовые ресурсы путем приобретения продукции (товаров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и услуг) организации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2872"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Получение высококачественных,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безопасных товаров и услуг по приемлемой цене </w:t>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Поставщики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4003"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Поставка ресурсов (товаров, работ и услуг) для создания стоимости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2872"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Надежный рынок сбыта,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постоянный платежеспособный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покупатель </w:t>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Местные сообщества,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население в местах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осуществления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деятельности, </w:t>
            </w:r>
          </w:p>
        </w:tc>
        <w:tc>
          <w:tcPr>
            <w:tcW w:w="4003"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Поддержка в местах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осуществления деятельности;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лояльность и поддержка местныхвластей;благосклонное отношение;сотрудничество</w:t>
            </w:r>
          </w:p>
        </w:tc>
        <w:tc>
          <w:tcPr>
            <w:tcW w:w="2872"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Создание дополнительных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рабочих мест, развитие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региона </w:t>
            </w:r>
          </w:p>
        </w:tc>
      </w:tr>
      <w:tr>
        <w:trPr/>
        <w:tc>
          <w:tcPr>
            <w:tcW w:w="2696"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Правительство, </w:t>
            </w:r>
          </w:p>
          <w:p>
            <w:pPr>
              <w:pStyle w:val="NoSpacing"/>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государственные органы, Парламент </w:t>
            </w:r>
          </w:p>
        </w:tc>
        <w:tc>
          <w:tcPr>
            <w:tcW w:w="4003" w:type="dxa"/>
            <w:tcBorders/>
            <w:shd w:fill="auto" w:val="clear"/>
          </w:tcPr>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Государственное регулирование</w:t>
            </w:r>
          </w:p>
        </w:tc>
        <w:tc>
          <w:tcPr>
            <w:tcW w:w="2872"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Налоги, решение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социальных задач </w:t>
            </w:r>
          </w:p>
          <w:p>
            <w:pPr>
              <w:pStyle w:val="NoSpacing"/>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r>
    </w:tbl>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Приложение 2</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к Типовому кодексу </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корпоративного управления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Методы взаимодействия с заинтересованными сторонами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tbl>
      <w:tblPr>
        <w:tblStyle w:val="a4"/>
        <w:tblW w:w="9571" w:type="dxa"/>
        <w:jc w:val="left"/>
        <w:tblInd w:w="0" w:type="dxa"/>
        <w:tblCellMar>
          <w:top w:w="0" w:type="dxa"/>
          <w:left w:w="108" w:type="dxa"/>
          <w:bottom w:w="0" w:type="dxa"/>
          <w:right w:w="108" w:type="dxa"/>
        </w:tblCellMar>
        <w:tblLook w:noVBand="1" w:val="04a0" w:noHBand="0" w:lastColumn="0" w:firstColumn="1" w:lastRow="0" w:firstRow="1"/>
      </w:tblPr>
      <w:tblGrid>
        <w:gridCol w:w="4785"/>
        <w:gridCol w:w="4785"/>
      </w:tblGrid>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Уровень взаимодействия </w:t>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Методы взаимодействия</w:t>
            </w:r>
          </w:p>
        </w:tc>
      </w:tr>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Консультации: двухстороннее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взаимодействие; заинтересованные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стороны отвечают на вопросы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Предприятия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Опросники; фокус-группы; встречи с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заинтересованными сторонами; публичные встречи; семинары; предоставление обратной связи посредством средств коммуникации;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консультативные советы </w:t>
            </w:r>
          </w:p>
        </w:tc>
      </w:tr>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Переговоры</w:t>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Коллективные переговоры на основе принципов социального партнерства</w:t>
            </w:r>
          </w:p>
        </w:tc>
      </w:tr>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Вовлеченность: Двухстороннее или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многостороннее взаимодействие;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наращивание опыта и знаний со всех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сторон, заинтересованные стороны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действуют независимо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Многосторонние форумы; консультационные панели; процесс достижения консенсуса; процесс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совместного принятия решений; фокус-группы; схемы предоставления обратной связи </w:t>
            </w:r>
          </w:p>
        </w:tc>
      </w:tr>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Сотрудничество: Двухстороннее или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многостороннее взаимодействие;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совместное наращивание опыта и знаний, принятие решений и мер </w:t>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Совместные проекты; совместные предприятия; партнерство; совместные инициативы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заинтересованных сторон </w:t>
            </w:r>
          </w:p>
        </w:tc>
      </w:tr>
      <w:tr>
        <w:trPr/>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полномочий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заинтересованные стороны (если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применимо) принимают участие в </w:t>
            </w:r>
          </w:p>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управлении </w:t>
            </w:r>
          </w:p>
        </w:tc>
        <w:tc>
          <w:tcPr>
            <w:tcW w:w="4785" w:type="dxa"/>
            <w:tcBorders/>
            <w:shd w:fill="auto" w:val="clear"/>
          </w:tcPr>
          <w:p>
            <w:pPr>
              <w:pStyle w:val="NoSpacing"/>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Интеграция вопросов взаимодействия с заинтересованными сторонами в управление,стратеги и операционную деятельность </w:t>
            </w:r>
          </w:p>
        </w:tc>
      </w:tr>
    </w:tbl>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3</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к Типовому кодексу </w:t>
      </w:r>
    </w:p>
    <w:p>
      <w:pPr>
        <w:pStyle w:val="NoSpacing"/>
        <w:jc w:val="right"/>
        <w:rPr>
          <w:rFonts w:ascii="Times New Roman" w:hAnsi="Times New Roman" w:cs="Times New Roman"/>
          <w:sz w:val="28"/>
          <w:szCs w:val="28"/>
        </w:rPr>
      </w:pPr>
      <w:r>
        <w:rPr>
          <w:rFonts w:cs="Times New Roman" w:ascii="Times New Roman" w:hAnsi="Times New Roman"/>
          <w:sz w:val="28"/>
          <w:szCs w:val="28"/>
        </w:rPr>
        <w:t>корпоративного управления</w:t>
      </w:r>
    </w:p>
    <w:p>
      <w:pPr>
        <w:pStyle w:val="NoSpacing"/>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Классификация категорий и аспектов устойчивого развития</w:t>
      </w:r>
    </w:p>
    <w:p>
      <w:pPr>
        <w:pStyle w:val="NoSpacing"/>
        <w:jc w:val="right"/>
        <w:rPr>
          <w:rFonts w:ascii="Times New Roman" w:hAnsi="Times New Roman" w:cs="Times New Roman"/>
          <w:sz w:val="28"/>
          <w:szCs w:val="28"/>
        </w:rPr>
      </w:pPr>
      <w:r>
        <w:rPr>
          <w:rFonts w:cs="Times New Roman" w:ascii="Times New Roman" w:hAnsi="Times New Roman"/>
          <w:sz w:val="28"/>
          <w:szCs w:val="28"/>
        </w:rPr>
      </w:r>
    </w:p>
    <w:tbl>
      <w:tblPr>
        <w:tblStyle w:val="a4"/>
        <w:tblW w:w="9571" w:type="dxa"/>
        <w:jc w:val="left"/>
        <w:tblInd w:w="0" w:type="dxa"/>
        <w:tblCellMar>
          <w:top w:w="0" w:type="dxa"/>
          <w:left w:w="108" w:type="dxa"/>
          <w:bottom w:w="0" w:type="dxa"/>
          <w:right w:w="108" w:type="dxa"/>
        </w:tblCellMar>
        <w:tblLook w:noVBand="1" w:val="04a0" w:noHBand="0" w:lastColumn="0" w:firstColumn="1" w:lastRow="0" w:firstRow="1"/>
      </w:tblPr>
      <w:tblGrid>
        <w:gridCol w:w="4785"/>
        <w:gridCol w:w="4785"/>
      </w:tblGrid>
      <w:tr>
        <w:trPr/>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Категория </w:t>
            </w:r>
          </w:p>
        </w:tc>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Аспекты</w:t>
            </w:r>
          </w:p>
        </w:tc>
      </w:tr>
      <w:tr>
        <w:trPr/>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Экономическая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Экономическая результативность; присутствие на рынках; непрямые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экономические воздействия; практики закупок </w:t>
            </w:r>
          </w:p>
        </w:tc>
      </w:tr>
      <w:tr>
        <w:trPr/>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Экологическая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 </w:t>
            </w:r>
          </w:p>
        </w:tc>
      </w:tr>
      <w:tr>
        <w:trPr/>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Социальная</w:t>
            </w:r>
          </w:p>
        </w:tc>
        <w:tc>
          <w:tcPr>
            <w:tcW w:w="4785" w:type="dxa"/>
            <w:tcBorders/>
            <w:shd w:fill="auto" w:val="clear"/>
          </w:tcPr>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Практика трудовых отношений и достойный труд, включают, в том числе, поставщиков, механизмы подачи жалоб на практику трудовых отношений 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оценку соблюдения поставщиками прав человека, механизмы подачи жалоб на нарушение прав человека</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Предприятие, включает, в том числе, местные сообщества, противодействие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Ответственность за продукцию включает, в том числе, здоровье и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Безопасность потребителя, м</w:t>
            </w:r>
            <w:bookmarkStart w:id="0" w:name="_GoBack"/>
            <w:bookmarkEnd w:id="0"/>
            <w:r>
              <w:rPr>
                <w:rFonts w:cs="Times New Roman" w:ascii="Times New Roman" w:hAnsi="Times New Roman"/>
                <w:sz w:val="24"/>
                <w:szCs w:val="24"/>
              </w:rPr>
              <w:t xml:space="preserve">аркировку продукции и услуг, маркетинговые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коммуникации, неприкосновенность частной жизни потребителя,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соответствие требованиям </w:t>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
    </w:p>
    <w:sectPr>
      <w:type w:val="nextPage"/>
      <w:pgSz w:w="11906" w:h="16838"/>
      <w:pgMar w:left="1701" w:right="850"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2d9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Spacing">
    <w:name w:val="No Spacing"/>
    <w:uiPriority w:val="1"/>
    <w:qFormat/>
    <w:rsid w:val="0013038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1f186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94E6-90B0-4BE5-9645-99E31A69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Application>LibreOffice/6.0.7.3$Linux_X86_64 LibreOffice_project/00m0$Build-3</Application>
  <Pages>42</Pages>
  <Words>12831</Words>
  <Characters>100467</Characters>
  <CharactersWithSpaces>113323</CharactersWithSpaces>
  <Paragraphs>803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2019-08-28T04:21:00Z</dcterms:created>
  <dc:creator>Приемная</dc:creator>
  <dc:description/>
  <dc:language>ru-RU</dc:language>
  <cp:lastModifiedBy/>
  <dcterms:modified xsi:type="dcterms:W3CDTF">2019-11-08T14:47:31Z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